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F669B" w14:textId="4D17BFC5" w:rsidR="00137E06" w:rsidRPr="00C67319" w:rsidRDefault="00137E06" w:rsidP="00137E06">
      <w:pPr>
        <w:autoSpaceDE w:val="0"/>
        <w:autoSpaceDN w:val="0"/>
        <w:adjustRightInd w:val="0"/>
        <w:spacing w:after="0" w:line="240" w:lineRule="auto"/>
        <w:jc w:val="right"/>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Anexa nr. 2.1.</w:t>
      </w:r>
    </w:p>
    <w:p w14:paraId="2324C1E2" w14:textId="542EC25C" w:rsidR="00137E06" w:rsidRPr="00C67319" w:rsidRDefault="00137E06" w:rsidP="00137E06">
      <w:pPr>
        <w:autoSpaceDE w:val="0"/>
        <w:autoSpaceDN w:val="0"/>
        <w:adjustRightInd w:val="0"/>
        <w:spacing w:after="0" w:line="240" w:lineRule="auto"/>
        <w:jc w:val="right"/>
        <w:rPr>
          <w:rFonts w:ascii="Times New Roman" w:eastAsia="Calibri" w:hAnsi="Times New Roman" w:cs="Times New Roman"/>
          <w:color w:val="000000"/>
          <w:sz w:val="24"/>
          <w:szCs w:val="24"/>
        </w:rPr>
      </w:pPr>
    </w:p>
    <w:p w14:paraId="20E3134C" w14:textId="18C7DB4F" w:rsidR="00137E06" w:rsidRPr="00C67319" w:rsidRDefault="00C67319" w:rsidP="00137E06">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C67319">
        <w:rPr>
          <w:rFonts w:ascii="Times New Roman" w:eastAsia="Calibri" w:hAnsi="Times New Roman" w:cs="Times New Roman"/>
          <w:b/>
          <w:bCs/>
          <w:color w:val="000000"/>
          <w:sz w:val="24"/>
          <w:szCs w:val="24"/>
        </w:rPr>
        <w:t>PLAN DE INVESTIȚII</w:t>
      </w:r>
    </w:p>
    <w:p w14:paraId="30420E1B" w14:textId="46351A13"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E362377" w14:textId="77777777" w:rsidR="00C67319" w:rsidRPr="00C67319" w:rsidRDefault="00C67319"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6E60EB4" w14:textId="5C8029E1"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Pentru viabilitatea investiției, întreprinderea solicitantă va prezenta cel puțin următoarele:</w:t>
      </w:r>
    </w:p>
    <w:p w14:paraId="08E7D59B" w14:textId="77777777"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6B8E75C" w14:textId="71DABCDC" w:rsidR="00137E06" w:rsidRPr="00C67319" w:rsidRDefault="00137E06" w:rsidP="00C67319">
      <w:pPr>
        <w:pStyle w:val="ListParagraph"/>
        <w:numPr>
          <w:ilvl w:val="0"/>
          <w:numId w:val="11"/>
        </w:numPr>
        <w:autoSpaceDE w:val="0"/>
        <w:autoSpaceDN w:val="0"/>
        <w:adjustRightInd w:val="0"/>
        <w:spacing w:after="0" w:line="240" w:lineRule="auto"/>
        <w:ind w:right="-142"/>
        <w:jc w:val="both"/>
        <w:rPr>
          <w:rFonts w:ascii="Times New Roman" w:eastAsia="Calibri" w:hAnsi="Times New Roman" w:cs="Times New Roman"/>
          <w:color w:val="000000"/>
          <w:sz w:val="24"/>
          <w:szCs w:val="24"/>
        </w:rPr>
      </w:pPr>
      <w:r w:rsidRPr="00C67319">
        <w:rPr>
          <w:rFonts w:ascii="Times New Roman" w:eastAsia="Calibri" w:hAnsi="Times New Roman" w:cs="Times New Roman"/>
          <w:b/>
          <w:bCs/>
          <w:color w:val="000000"/>
          <w:sz w:val="24"/>
          <w:szCs w:val="24"/>
        </w:rPr>
        <w:t>Analiza pieței</w:t>
      </w:r>
      <w:r w:rsidRPr="00C67319">
        <w:rPr>
          <w:rFonts w:ascii="Times New Roman" w:eastAsia="Calibri" w:hAnsi="Times New Roman" w:cs="Times New Roman"/>
          <w:color w:val="000000"/>
          <w:sz w:val="24"/>
          <w:szCs w:val="24"/>
        </w:rPr>
        <w:t xml:space="preserve"> relevante în cadrul căreia întreprinderea va desfăşura activitate ca urmare a realizării produselor/prestării serviciilor obținute prin proiectul de investiții. Din respectiva analiză trebuie să rezulte un excedent de cerere care nu poate fi acoperit de oferta firmelor concurente.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67319" w:rsidRPr="00503872" w14:paraId="718C6061" w14:textId="77777777" w:rsidTr="00C67319">
        <w:tc>
          <w:tcPr>
            <w:tcW w:w="5000" w:type="pct"/>
            <w:shd w:val="clear" w:color="auto" w:fill="auto"/>
          </w:tcPr>
          <w:p w14:paraId="6A75F069" w14:textId="7438DAEF" w:rsidR="00C67319" w:rsidRPr="00503872" w:rsidRDefault="00C67319" w:rsidP="00503872">
            <w:pPr>
              <w:spacing w:after="0"/>
              <w:jc w:val="both"/>
              <w:rPr>
                <w:rFonts w:ascii="Times New Roman" w:hAnsi="Times New Roman" w:cs="Times New Roman"/>
                <w:i/>
                <w:iCs/>
                <w:color w:val="FF0000"/>
              </w:rPr>
            </w:pPr>
            <w:bookmarkStart w:id="0" w:name="_Hlk110873323"/>
            <w:r w:rsidRPr="00503872">
              <w:rPr>
                <w:rFonts w:ascii="Times New Roman" w:hAnsi="Times New Roman" w:cs="Times New Roman"/>
                <w:i/>
                <w:iCs/>
                <w:color w:val="FF0000"/>
              </w:rPr>
              <w:t>Atenție!</w:t>
            </w:r>
          </w:p>
          <w:p w14:paraId="7472E663" w14:textId="457A8ACB" w:rsidR="00C67319" w:rsidRDefault="00C67319" w:rsidP="00503872">
            <w:pPr>
              <w:spacing w:after="0"/>
              <w:jc w:val="both"/>
              <w:rPr>
                <w:rFonts w:ascii="Times New Roman" w:hAnsi="Times New Roman" w:cs="Times New Roman"/>
                <w:i/>
                <w:iCs/>
                <w:color w:val="0000FF"/>
              </w:rPr>
            </w:pPr>
            <w:r w:rsidRPr="00503872">
              <w:rPr>
                <w:rFonts w:ascii="Times New Roman" w:hAnsi="Times New Roman" w:cs="Times New Roman"/>
                <w:i/>
                <w:iCs/>
                <w:color w:val="0000FF"/>
              </w:rPr>
              <w:t xml:space="preserve">Prezentarea unor scrisori de intenţie/contracte/precontracte etc. din partea unor potenţiali clienţi nu demonstrează un excedent de cerere care nu poate fi acoperit de oferta firmelor concurente. </w:t>
            </w:r>
          </w:p>
          <w:p w14:paraId="092B7826" w14:textId="77777777" w:rsidR="00503872" w:rsidRPr="00503872" w:rsidRDefault="00503872" w:rsidP="00503872">
            <w:pPr>
              <w:spacing w:after="0"/>
              <w:jc w:val="both"/>
              <w:rPr>
                <w:rFonts w:ascii="Times New Roman" w:hAnsi="Times New Roman" w:cs="Times New Roman"/>
                <w:i/>
                <w:iCs/>
                <w:color w:val="0000FF"/>
              </w:rPr>
            </w:pPr>
          </w:p>
          <w:p w14:paraId="4994EE72" w14:textId="76FD53FB" w:rsidR="00C67319" w:rsidRPr="00503872" w:rsidRDefault="00C67319" w:rsidP="00503872">
            <w:pPr>
              <w:spacing w:after="0"/>
              <w:jc w:val="both"/>
              <w:rPr>
                <w:rFonts w:ascii="Times New Roman" w:hAnsi="Times New Roman" w:cs="Times New Roman"/>
                <w:i/>
                <w:iCs/>
                <w:u w:val="single"/>
              </w:rPr>
            </w:pPr>
            <w:r w:rsidRPr="00503872">
              <w:rPr>
                <w:rFonts w:ascii="Times New Roman" w:hAnsi="Times New Roman" w:cs="Times New Roman"/>
                <w:i/>
                <w:iCs/>
                <w:color w:val="0000FF"/>
              </w:rPr>
              <w:t>În cadrul descrierii pieţei relevante întreprinderea trebuie să prezinte cota de piaţă deţinută în prezent precum şi cea care va fi deţinută ca urmare a implementării proiectului de investiţii</w:t>
            </w:r>
          </w:p>
        </w:tc>
      </w:tr>
      <w:bookmarkEnd w:id="0"/>
    </w:tbl>
    <w:p w14:paraId="7371AD8B" w14:textId="7DFB80E4"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67319" w:rsidRPr="00503872" w14:paraId="70BC8381" w14:textId="77777777" w:rsidTr="00C67319">
        <w:tc>
          <w:tcPr>
            <w:tcW w:w="5000" w:type="pct"/>
            <w:shd w:val="clear" w:color="auto" w:fill="auto"/>
          </w:tcPr>
          <w:p w14:paraId="1000EB8B" w14:textId="78269029" w:rsidR="00C67319" w:rsidRPr="00503872" w:rsidRDefault="00C67319" w:rsidP="00503872">
            <w:pPr>
              <w:rPr>
                <w:rFonts w:ascii="Times New Roman" w:hAnsi="Times New Roman" w:cs="Times New Roman"/>
                <w:i/>
                <w:iCs/>
                <w:color w:val="FF0000"/>
              </w:rPr>
            </w:pPr>
            <w:r w:rsidRPr="00503872">
              <w:rPr>
                <w:rFonts w:ascii="Times New Roman" w:hAnsi="Times New Roman" w:cs="Times New Roman"/>
                <w:i/>
                <w:iCs/>
                <w:color w:val="FF0000"/>
              </w:rPr>
              <w:t>Definiții:</w:t>
            </w:r>
          </w:p>
          <w:p w14:paraId="65316FCD" w14:textId="77777777" w:rsidR="00C67319" w:rsidRPr="00503872" w:rsidRDefault="00C67319" w:rsidP="00503872">
            <w:pPr>
              <w:jc w:val="both"/>
              <w:rPr>
                <w:rFonts w:ascii="Times New Roman" w:hAnsi="Times New Roman" w:cs="Times New Roman"/>
                <w:i/>
                <w:iCs/>
                <w:color w:val="0000FF"/>
              </w:rPr>
            </w:pPr>
            <w:r w:rsidRPr="00503872">
              <w:rPr>
                <w:rFonts w:ascii="Times New Roman" w:hAnsi="Times New Roman" w:cs="Times New Roman"/>
                <w:i/>
                <w:iCs/>
                <w:color w:val="0000FF"/>
              </w:rPr>
              <w:t xml:space="preserve">Piaţa relevantă are  două componente: piaţa produsului şi piaţa geografică. </w:t>
            </w:r>
          </w:p>
          <w:p w14:paraId="349AEDDB" w14:textId="77777777" w:rsidR="00C67319" w:rsidRPr="00503872" w:rsidRDefault="00C67319" w:rsidP="00503872">
            <w:pPr>
              <w:jc w:val="both"/>
              <w:rPr>
                <w:rFonts w:ascii="Times New Roman" w:hAnsi="Times New Roman" w:cs="Times New Roman"/>
                <w:i/>
                <w:iCs/>
                <w:color w:val="0000FF"/>
              </w:rPr>
            </w:pPr>
            <w:r w:rsidRPr="00503872">
              <w:rPr>
                <w:rFonts w:ascii="Times New Roman" w:hAnsi="Times New Roman" w:cs="Times New Roman"/>
                <w:i/>
                <w:iCs/>
                <w:color w:val="0000FF"/>
              </w:rPr>
              <w:t xml:space="preserve">Piaţa relevantă a produsului cuprinde toate produsele care sunt considerate de cumpărători ca interschimbabile sau substituibile, datorită caracteristicilor, preţului şi utilizării acestora. Aceste produse trebuie să fie suficient de asemănătoare, astfel încât consumatorii sau beneficiarii să le ia în considerare atunci când iau deciziile de cumpărare. </w:t>
            </w:r>
          </w:p>
          <w:p w14:paraId="36A3B0FE" w14:textId="77777777" w:rsidR="00C67319" w:rsidRPr="00503872" w:rsidRDefault="00C67319" w:rsidP="00503872">
            <w:pPr>
              <w:jc w:val="both"/>
              <w:rPr>
                <w:rFonts w:ascii="Times New Roman" w:hAnsi="Times New Roman" w:cs="Times New Roman"/>
                <w:i/>
                <w:iCs/>
                <w:color w:val="0000FF"/>
              </w:rPr>
            </w:pPr>
            <w:r w:rsidRPr="00503872">
              <w:rPr>
                <w:rFonts w:ascii="Times New Roman" w:hAnsi="Times New Roman" w:cs="Times New Roman"/>
                <w:i/>
                <w:iCs/>
                <w:color w:val="0000FF"/>
              </w:rPr>
              <w:t xml:space="preserve">Identificarea pieţei relevante a produsului presupune efectuarea unei analize care să stabilească produsele care fac parte din piaţa respectivă, luând în considerare factori determinanţi, cum ar fi substituibilitatea, preţurile, elasticitatea cererii pentru produs în funcţie de preţurile altor produse etc. </w:t>
            </w:r>
          </w:p>
          <w:p w14:paraId="40C9D039" w14:textId="77777777" w:rsidR="00C67319" w:rsidRPr="00503872" w:rsidRDefault="00C67319" w:rsidP="00503872">
            <w:pPr>
              <w:jc w:val="both"/>
              <w:rPr>
                <w:rFonts w:ascii="Times New Roman" w:hAnsi="Times New Roman" w:cs="Times New Roman"/>
                <w:i/>
                <w:iCs/>
                <w:color w:val="0000FF"/>
              </w:rPr>
            </w:pPr>
            <w:r w:rsidRPr="00503872">
              <w:rPr>
                <w:rFonts w:ascii="Times New Roman" w:hAnsi="Times New Roman" w:cs="Times New Roman"/>
                <w:i/>
                <w:iCs/>
                <w:color w:val="0000FF"/>
              </w:rPr>
              <w:t xml:space="preserve">Piaţa geografică relevantă cuprinde zona în care sunt localizaţi operatorii economici implicaţi în livrarea produselor/serviciilor incluse în piaţa produsului, zona în care condiţiile de concurenţă sunt suficient de omogene şi care poate fi diferenţiată în arii geografice vecine datorită, în special, unor condiţii de concurenţă substanţial diferite. </w:t>
            </w:r>
          </w:p>
          <w:p w14:paraId="1945ED48" w14:textId="77777777" w:rsidR="00C67319" w:rsidRPr="00503872" w:rsidRDefault="00C67319" w:rsidP="00503872">
            <w:pPr>
              <w:jc w:val="both"/>
              <w:rPr>
                <w:rFonts w:ascii="Times New Roman" w:hAnsi="Times New Roman" w:cs="Times New Roman"/>
                <w:i/>
                <w:iCs/>
                <w:color w:val="0000FF"/>
              </w:rPr>
            </w:pPr>
            <w:r w:rsidRPr="00503872">
              <w:rPr>
                <w:rFonts w:ascii="Times New Roman" w:hAnsi="Times New Roman" w:cs="Times New Roman"/>
                <w:i/>
                <w:iCs/>
                <w:color w:val="0000FF"/>
              </w:rPr>
              <w:t xml:space="preserve">Factorii care trebuie luaţi în considerare la definirea pieţei geografice relevante includ tipul şi caracteristicile produselor implicate, existenţa unor bariere la intrare, preferinţele consumatorilor, diferenţele dintre cotele de piaţă ale operatorilor economici în zone geografice învecinate, diferenţele substanţiale dintre preţurile produselor la furnizori, precum şi ponderea cheltuielilor de transport în costurile totale. </w:t>
            </w:r>
          </w:p>
          <w:p w14:paraId="3B12CB67" w14:textId="77777777" w:rsidR="00C67319" w:rsidRPr="00503872" w:rsidRDefault="00C67319" w:rsidP="00503872">
            <w:pPr>
              <w:rPr>
                <w:rFonts w:ascii="Times New Roman" w:hAnsi="Times New Roman" w:cs="Times New Roman"/>
                <w:i/>
                <w:iCs/>
                <w:color w:val="0000FF"/>
              </w:rPr>
            </w:pPr>
            <w:r w:rsidRPr="00503872">
              <w:rPr>
                <w:rFonts w:ascii="Times New Roman" w:hAnsi="Times New Roman" w:cs="Times New Roman"/>
                <w:i/>
                <w:iCs/>
                <w:color w:val="0000FF"/>
              </w:rPr>
              <w:t xml:space="preserve">A se vedea: </w:t>
            </w:r>
          </w:p>
          <w:p w14:paraId="5B11FEAA" w14:textId="77777777" w:rsidR="00C67319" w:rsidRPr="00503872" w:rsidRDefault="00C67319" w:rsidP="00503872">
            <w:pPr>
              <w:rPr>
                <w:rFonts w:ascii="Times New Roman" w:hAnsi="Times New Roman" w:cs="Times New Roman"/>
                <w:i/>
                <w:iCs/>
                <w:color w:val="0000FF"/>
              </w:rPr>
            </w:pPr>
            <w:r w:rsidRPr="00503872">
              <w:rPr>
                <w:rFonts w:ascii="Times New Roman" w:hAnsi="Times New Roman" w:cs="Times New Roman"/>
                <w:i/>
                <w:iCs/>
                <w:color w:val="0000FF"/>
              </w:rPr>
              <w:t>•</w:t>
            </w:r>
            <w:r w:rsidRPr="00503872">
              <w:rPr>
                <w:rFonts w:ascii="Times New Roman" w:hAnsi="Times New Roman" w:cs="Times New Roman"/>
                <w:i/>
                <w:iCs/>
                <w:color w:val="0000FF"/>
              </w:rPr>
              <w:tab/>
              <w:t>Comunicarea Comisiei privind definirea pieței relevante - https://eur-lex.europa.eu/legal-content/RO/TXT/PDF/?uri=CELEX:31997Y1209(01)&amp;from=RO</w:t>
            </w:r>
          </w:p>
          <w:p w14:paraId="0470A6D2" w14:textId="31E3ACF7" w:rsidR="00C67319" w:rsidRPr="00503872" w:rsidRDefault="00C67319" w:rsidP="00503872">
            <w:pPr>
              <w:rPr>
                <w:rFonts w:ascii="Times New Roman" w:hAnsi="Times New Roman" w:cs="Times New Roman"/>
                <w:i/>
                <w:iCs/>
                <w:u w:val="single"/>
              </w:rPr>
            </w:pPr>
            <w:r w:rsidRPr="00503872">
              <w:rPr>
                <w:rFonts w:ascii="Times New Roman" w:hAnsi="Times New Roman" w:cs="Times New Roman"/>
                <w:i/>
                <w:iCs/>
                <w:color w:val="0000FF"/>
              </w:rPr>
              <w:t xml:space="preserve"> •</w:t>
            </w:r>
            <w:r w:rsidRPr="00503872">
              <w:rPr>
                <w:rFonts w:ascii="Times New Roman" w:hAnsi="Times New Roman" w:cs="Times New Roman"/>
                <w:i/>
                <w:iCs/>
                <w:color w:val="0000FF"/>
              </w:rPr>
              <w:tab/>
              <w:t>Ordinul preşedintelui Consiliului Concurenţei nr. 388/5.08.2010 pentru punerea în aplicare a Instrucţiunilor privind definirea pieţei relevante</w:t>
            </w:r>
          </w:p>
        </w:tc>
      </w:tr>
    </w:tbl>
    <w:p w14:paraId="45702E42" w14:textId="480C5BE4" w:rsidR="00137E06"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highlight w:val="yellow"/>
        </w:rPr>
      </w:pPr>
    </w:p>
    <w:p w14:paraId="1D2E1000" w14:textId="77777777" w:rsidR="00503872" w:rsidRPr="00C67319" w:rsidRDefault="00503872" w:rsidP="00137E06">
      <w:pPr>
        <w:autoSpaceDE w:val="0"/>
        <w:autoSpaceDN w:val="0"/>
        <w:adjustRightInd w:val="0"/>
        <w:spacing w:after="0" w:line="240" w:lineRule="auto"/>
        <w:jc w:val="both"/>
        <w:rPr>
          <w:rFonts w:ascii="Times New Roman" w:eastAsia="Calibri" w:hAnsi="Times New Roman" w:cs="Times New Roman"/>
          <w:color w:val="000000"/>
          <w:sz w:val="24"/>
          <w:szCs w:val="24"/>
          <w:highlight w:val="yellow"/>
        </w:rPr>
      </w:pPr>
    </w:p>
    <w:p w14:paraId="24D4622C" w14:textId="77777777"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rPr>
      </w:pPr>
    </w:p>
    <w:p w14:paraId="25B0B6C5" w14:textId="4875F447" w:rsidR="00137E06" w:rsidRPr="00C67319" w:rsidRDefault="00137E06" w:rsidP="00EE6424">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lastRenderedPageBreak/>
        <w:t>2</w:t>
      </w:r>
      <w:r w:rsidR="00EE6424" w:rsidRPr="00C67319">
        <w:rPr>
          <w:rFonts w:ascii="Times New Roman" w:eastAsia="Calibri" w:hAnsi="Times New Roman" w:cs="Times New Roman"/>
          <w:color w:val="000000"/>
          <w:sz w:val="24"/>
          <w:szCs w:val="24"/>
        </w:rPr>
        <w:t>.</w:t>
      </w:r>
      <w:r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b/>
          <w:bCs/>
          <w:color w:val="000000"/>
          <w:sz w:val="24"/>
          <w:szCs w:val="24"/>
        </w:rPr>
        <w:t>Justificarea realizării investiției</w:t>
      </w:r>
      <w:r w:rsidR="00EE6424"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color w:val="000000"/>
          <w:sz w:val="24"/>
          <w:szCs w:val="24"/>
        </w:rPr>
        <w:t xml:space="preserve">Întreprinderea va prezenta date referitoare la: </w:t>
      </w:r>
    </w:p>
    <w:p w14:paraId="076073E5" w14:textId="74D99713" w:rsidR="00137E06" w:rsidRPr="00C67319" w:rsidRDefault="00137E06" w:rsidP="00EE6424">
      <w:pPr>
        <w:numPr>
          <w:ilvl w:val="0"/>
          <w:numId w:val="10"/>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capacitatea de producţie</w:t>
      </w:r>
      <w:r w:rsidR="00EE6424"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color w:val="000000"/>
          <w:sz w:val="24"/>
          <w:szCs w:val="24"/>
        </w:rPr>
        <w:t>-</w:t>
      </w:r>
      <w:r w:rsidR="00EE6424"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color w:val="000000"/>
          <w:sz w:val="24"/>
          <w:szCs w:val="24"/>
        </w:rPr>
        <w:t>se va prezenta și fundamenta prin calcul capacitatea de producţie existentă şi cea rezultată în urma implementării proiectului de investiţii, precum şi gradul de utilizare al acestora.</w:t>
      </w:r>
    </w:p>
    <w:p w14:paraId="00B68D2F" w14:textId="77777777" w:rsidR="00EE6424" w:rsidRPr="00C67319" w:rsidRDefault="00137E06" w:rsidP="00EE6424">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b) cifra de afaceri  - se va fundamenta cifra de afaceri prin prezentarea de informaţii referitoare la</w:t>
      </w:r>
      <w:r w:rsidR="00EE6424" w:rsidRPr="00C67319">
        <w:rPr>
          <w:rFonts w:ascii="Times New Roman" w:eastAsia="Calibri" w:hAnsi="Times New Roman" w:cs="Times New Roman"/>
          <w:color w:val="000000"/>
          <w:sz w:val="24"/>
          <w:szCs w:val="24"/>
        </w:rPr>
        <w:t>:</w:t>
      </w:r>
    </w:p>
    <w:p w14:paraId="14623B57" w14:textId="178B4509" w:rsidR="00EE6424" w:rsidRPr="00C67319" w:rsidRDefault="00137E06" w:rsidP="00EE6424">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(1) tipurile de produse/servicii realizate de întreprindere în prezent, cantitatea, preţul şi valoarea acestora</w:t>
      </w:r>
      <w:r w:rsidR="00EE6424" w:rsidRPr="00C67319">
        <w:rPr>
          <w:rFonts w:ascii="Times New Roman" w:eastAsia="Calibri" w:hAnsi="Times New Roman" w:cs="Times New Roman"/>
          <w:color w:val="000000"/>
          <w:sz w:val="24"/>
          <w:szCs w:val="24"/>
        </w:rPr>
        <w:t>,</w:t>
      </w:r>
      <w:r w:rsidRPr="00C67319">
        <w:rPr>
          <w:rFonts w:ascii="Times New Roman" w:eastAsia="Calibri" w:hAnsi="Times New Roman" w:cs="Times New Roman"/>
          <w:color w:val="000000"/>
          <w:sz w:val="24"/>
          <w:szCs w:val="24"/>
        </w:rPr>
        <w:t xml:space="preserve"> și </w:t>
      </w:r>
    </w:p>
    <w:p w14:paraId="1A4AD7E2" w14:textId="67E9EE27" w:rsidR="00137E06" w:rsidRPr="00C67319" w:rsidRDefault="00137E06" w:rsidP="00EE6424">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(2) tipurile de produse/servicii ce urmează a fi realizate de întreprindere ca urmare a realizării proiectului de investiţii, cantitatea, preţul şi valoarea acestora.</w:t>
      </w:r>
    </w:p>
    <w:p w14:paraId="4FE867F4" w14:textId="5C7D876D" w:rsidR="00EE6424" w:rsidRDefault="00EE6424" w:rsidP="00137E06">
      <w:pPr>
        <w:ind w:right="-331"/>
        <w:jc w:val="both"/>
        <w:rPr>
          <w:rFonts w:ascii="Times New Roman" w:eastAsia="Calibri"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67319" w:rsidRPr="00C67319" w14:paraId="04E3BB64" w14:textId="77777777" w:rsidTr="00B46069">
        <w:tc>
          <w:tcPr>
            <w:tcW w:w="5000" w:type="pct"/>
            <w:shd w:val="clear" w:color="auto" w:fill="auto"/>
          </w:tcPr>
          <w:p w14:paraId="4FC8D6E4" w14:textId="77777777" w:rsidR="00C67319" w:rsidRPr="00C67319" w:rsidRDefault="00C67319" w:rsidP="00B46069">
            <w:pPr>
              <w:spacing w:after="0"/>
              <w:ind w:right="-331"/>
              <w:jc w:val="both"/>
              <w:rPr>
                <w:rFonts w:ascii="Times New Roman" w:hAnsi="Times New Roman" w:cs="Times New Roman"/>
                <w:i/>
                <w:iCs/>
                <w:color w:val="FF0000"/>
                <w:sz w:val="23"/>
                <w:szCs w:val="23"/>
              </w:rPr>
            </w:pPr>
            <w:r w:rsidRPr="00C67319">
              <w:rPr>
                <w:rFonts w:ascii="Times New Roman" w:hAnsi="Times New Roman" w:cs="Times New Roman"/>
                <w:i/>
                <w:iCs/>
                <w:color w:val="FF0000"/>
                <w:sz w:val="23"/>
                <w:szCs w:val="23"/>
              </w:rPr>
              <w:t>Atenție!</w:t>
            </w:r>
          </w:p>
          <w:p w14:paraId="0B66E173" w14:textId="69F76679" w:rsidR="00C67319" w:rsidRPr="00C67319" w:rsidRDefault="00C67319" w:rsidP="00B46069">
            <w:pPr>
              <w:spacing w:after="0"/>
              <w:ind w:right="-331"/>
              <w:jc w:val="both"/>
              <w:rPr>
                <w:rFonts w:ascii="Times New Roman" w:hAnsi="Times New Roman" w:cs="Times New Roman"/>
                <w:i/>
                <w:iCs/>
                <w:color w:val="FF0000"/>
                <w:sz w:val="23"/>
                <w:szCs w:val="23"/>
                <w:u w:val="single"/>
              </w:rPr>
            </w:pPr>
            <w:r w:rsidRPr="00C67319">
              <w:rPr>
                <w:rFonts w:ascii="Times New Roman" w:hAnsi="Times New Roman" w:cs="Times New Roman"/>
                <w:i/>
                <w:iCs/>
                <w:color w:val="0000FF"/>
                <w:sz w:val="23"/>
                <w:szCs w:val="23"/>
              </w:rPr>
              <w:t>A nu se confunda  capacitatea de producţie cu volumul de producţie planificat sau realizat</w:t>
            </w:r>
            <w:r w:rsidR="00503872">
              <w:rPr>
                <w:rFonts w:ascii="Times New Roman" w:hAnsi="Times New Roman" w:cs="Times New Roman"/>
                <w:i/>
                <w:iCs/>
                <w:color w:val="0000FF"/>
                <w:sz w:val="23"/>
                <w:szCs w:val="23"/>
              </w:rPr>
              <w:t>.</w:t>
            </w:r>
          </w:p>
        </w:tc>
      </w:tr>
    </w:tbl>
    <w:p w14:paraId="1482B011" w14:textId="77777777"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i/>
          <w:color w:val="1F497D"/>
          <w:sz w:val="24"/>
          <w:szCs w:val="24"/>
        </w:rPr>
      </w:pPr>
    </w:p>
    <w:p w14:paraId="74A9351E" w14:textId="272D8A33" w:rsidR="00137E06" w:rsidRPr="00C67319" w:rsidRDefault="00137E06" w:rsidP="00137E06">
      <w:pPr>
        <w:jc w:val="both"/>
        <w:rPr>
          <w:rFonts w:ascii="Times New Roman" w:eastAsia="Calibri" w:hAnsi="Times New Roman" w:cs="Times New Roman"/>
          <w:sz w:val="24"/>
          <w:szCs w:val="24"/>
        </w:rPr>
      </w:pPr>
      <w:r w:rsidRPr="00C67319">
        <w:rPr>
          <w:rFonts w:ascii="Times New Roman" w:eastAsia="Calibri" w:hAnsi="Times New Roman" w:cs="Times New Roman"/>
          <w:sz w:val="24"/>
          <w:szCs w:val="24"/>
        </w:rPr>
        <w:t>3</w:t>
      </w:r>
      <w:r w:rsidR="00EE6424" w:rsidRPr="00C67319">
        <w:rPr>
          <w:rFonts w:ascii="Times New Roman" w:eastAsia="Calibri" w:hAnsi="Times New Roman" w:cs="Times New Roman"/>
          <w:sz w:val="24"/>
          <w:szCs w:val="24"/>
        </w:rPr>
        <w:t>.</w:t>
      </w:r>
      <w:r w:rsidRPr="00C67319">
        <w:rPr>
          <w:rFonts w:ascii="Times New Roman" w:eastAsia="Calibri" w:hAnsi="Times New Roman" w:cs="Times New Roman"/>
          <w:sz w:val="24"/>
          <w:szCs w:val="24"/>
        </w:rPr>
        <w:t xml:space="preserve"> </w:t>
      </w:r>
      <w:r w:rsidRPr="00C67319">
        <w:rPr>
          <w:rFonts w:ascii="Times New Roman" w:eastAsia="Calibri" w:hAnsi="Times New Roman" w:cs="Times New Roman"/>
          <w:b/>
          <w:bCs/>
          <w:sz w:val="24"/>
          <w:szCs w:val="24"/>
        </w:rPr>
        <w:t>Analiza economico-financiară</w:t>
      </w:r>
    </w:p>
    <w:p w14:paraId="1A67C1E7" w14:textId="4C82E5FD" w:rsidR="00137E06"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Întreprinderea trebuie să prezinte proiecţiile financiare aferente proiectului </w:t>
      </w:r>
      <w:r w:rsidR="00EE6424" w:rsidRPr="00C67319">
        <w:rPr>
          <w:rFonts w:ascii="Times New Roman" w:eastAsia="Calibri" w:hAnsi="Times New Roman" w:cs="Times New Roman"/>
          <w:color w:val="000000"/>
          <w:sz w:val="24"/>
          <w:szCs w:val="24"/>
        </w:rPr>
        <w:t>de investiții</w:t>
      </w:r>
      <w:r w:rsidR="001A1A92" w:rsidRPr="00C67319">
        <w:rPr>
          <w:rFonts w:ascii="Times New Roman" w:eastAsia="Calibri" w:hAnsi="Times New Roman" w:cs="Times New Roman"/>
          <w:color w:val="000000"/>
          <w:sz w:val="24"/>
          <w:szCs w:val="24"/>
        </w:rPr>
        <w:t xml:space="preserve"> prin</w:t>
      </w:r>
      <w:r w:rsidRPr="00C67319">
        <w:rPr>
          <w:rFonts w:ascii="Times New Roman" w:eastAsia="Calibri" w:hAnsi="Times New Roman" w:cs="Times New Roman"/>
          <w:color w:val="000000"/>
          <w:sz w:val="24"/>
          <w:szCs w:val="24"/>
        </w:rPr>
        <w:t xml:space="preserve"> ajutor de stat, proiecţii financiare aferente activităţii curente a întreprinderii, precum şi proiecţii financiare aferente activităţii consolidate a întreprinderii (activitate curentă + proiect), cu ajutor de stat.</w:t>
      </w:r>
    </w:p>
    <w:p w14:paraId="54BDF0DA" w14:textId="77777777" w:rsidR="00C67319" w:rsidRPr="00C67319" w:rsidRDefault="00C67319"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9867417" w14:textId="15CDC226" w:rsidR="00137E06"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Proiecțiile se realizează pornind de la situaţiile financiare aferente ultimului exerciţiu financiar încheiat, aprobate şi depuse conform prevederilor legale.</w:t>
      </w:r>
    </w:p>
    <w:p w14:paraId="119DF550" w14:textId="77777777" w:rsidR="00C67319" w:rsidRPr="00C67319" w:rsidRDefault="00C67319"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6206089" w14:textId="51A2895F" w:rsidR="00137E06" w:rsidRPr="00C67319" w:rsidRDefault="00137E06" w:rsidP="00137E06">
      <w:pPr>
        <w:autoSpaceDE w:val="0"/>
        <w:autoSpaceDN w:val="0"/>
        <w:adjustRightInd w:val="0"/>
        <w:spacing w:after="0" w:line="240" w:lineRule="auto"/>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Se vor prezenta proiecţii ale Contului de profit şi pierdere, Bilanţului şi Fluxului de numerar, pe perioada implementării investiţiei şi pe următorii 3 ani în cazul IMM-urilor și 5 ani în cazul întreprinderilor mari de la finalizarea investiţiei. </w:t>
      </w:r>
    </w:p>
    <w:p w14:paraId="637CF353" w14:textId="4B8FB3FC" w:rsidR="001A1A92" w:rsidRPr="00C67319" w:rsidRDefault="001A1A92" w:rsidP="00137E06">
      <w:pPr>
        <w:autoSpaceDE w:val="0"/>
        <w:autoSpaceDN w:val="0"/>
        <w:adjustRightInd w:val="0"/>
        <w:spacing w:after="0" w:line="240" w:lineRule="auto"/>
        <w:rPr>
          <w:rFonts w:ascii="Times New Roman" w:eastAsia="Calibri" w:hAnsi="Times New Roman" w:cs="Times New Roman"/>
          <w:color w:val="000000"/>
          <w:sz w:val="24"/>
          <w:szCs w:val="24"/>
        </w:rPr>
      </w:pPr>
    </w:p>
    <w:tbl>
      <w:tblPr>
        <w:tblStyle w:val="TableGrid"/>
        <w:tblW w:w="0" w:type="auto"/>
        <w:tblLook w:val="04A0" w:firstRow="1" w:lastRow="0" w:firstColumn="1" w:lastColumn="0" w:noHBand="0" w:noVBand="1"/>
      </w:tblPr>
      <w:tblGrid>
        <w:gridCol w:w="4644"/>
        <w:gridCol w:w="4644"/>
      </w:tblGrid>
      <w:tr w:rsidR="00207D40" w:rsidRPr="00C67319" w14:paraId="3945D452" w14:textId="77777777" w:rsidTr="00207D40">
        <w:tc>
          <w:tcPr>
            <w:tcW w:w="4644" w:type="dxa"/>
          </w:tcPr>
          <w:p w14:paraId="1297B8DF" w14:textId="782C91FF" w:rsidR="00207D40" w:rsidRPr="00C67319" w:rsidRDefault="00207D40" w:rsidP="00207D40">
            <w:pPr>
              <w:autoSpaceDE w:val="0"/>
              <w:autoSpaceDN w:val="0"/>
              <w:adjustRightInd w:val="0"/>
              <w:jc w:val="center"/>
              <w:rPr>
                <w:rFonts w:ascii="Times New Roman" w:eastAsia="Calibri" w:hAnsi="Times New Roman" w:cs="Times New Roman"/>
                <w:b/>
                <w:bCs/>
                <w:color w:val="000000"/>
                <w:sz w:val="24"/>
                <w:szCs w:val="24"/>
              </w:rPr>
            </w:pPr>
            <w:r w:rsidRPr="00C67319">
              <w:rPr>
                <w:rFonts w:ascii="Times New Roman" w:eastAsia="Calibri" w:hAnsi="Times New Roman" w:cs="Times New Roman"/>
                <w:b/>
                <w:bCs/>
                <w:color w:val="000000"/>
                <w:sz w:val="24"/>
                <w:szCs w:val="24"/>
              </w:rPr>
              <w:t>Indicatori cantitativi</w:t>
            </w:r>
          </w:p>
        </w:tc>
        <w:tc>
          <w:tcPr>
            <w:tcW w:w="4644" w:type="dxa"/>
          </w:tcPr>
          <w:p w14:paraId="619C03AC" w14:textId="7B380ED8" w:rsidR="00207D40" w:rsidRPr="00C67319" w:rsidRDefault="00207D40" w:rsidP="00207D40">
            <w:pPr>
              <w:autoSpaceDE w:val="0"/>
              <w:autoSpaceDN w:val="0"/>
              <w:adjustRightInd w:val="0"/>
              <w:jc w:val="center"/>
              <w:rPr>
                <w:rFonts w:ascii="Times New Roman" w:eastAsia="Calibri" w:hAnsi="Times New Roman" w:cs="Times New Roman"/>
                <w:b/>
                <w:bCs/>
                <w:color w:val="000000"/>
                <w:sz w:val="24"/>
                <w:szCs w:val="24"/>
              </w:rPr>
            </w:pPr>
            <w:r w:rsidRPr="00C67319">
              <w:rPr>
                <w:rFonts w:ascii="Times New Roman" w:eastAsia="Calibri" w:hAnsi="Times New Roman" w:cs="Times New Roman"/>
                <w:b/>
                <w:bCs/>
                <w:color w:val="000000"/>
                <w:sz w:val="24"/>
                <w:szCs w:val="24"/>
              </w:rPr>
              <w:t>Limitele indicatorilor</w:t>
            </w:r>
          </w:p>
        </w:tc>
      </w:tr>
      <w:tr w:rsidR="00207D40" w:rsidRPr="00C67319" w14:paraId="6588E6B1" w14:textId="77777777" w:rsidTr="00207D40">
        <w:tc>
          <w:tcPr>
            <w:tcW w:w="4644" w:type="dxa"/>
          </w:tcPr>
          <w:p w14:paraId="46EF2AC6" w14:textId="43AC190C"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Rata de solvabilitate generală Rsg = Active totale / Datorii totale</w:t>
            </w:r>
          </w:p>
        </w:tc>
        <w:tc>
          <w:tcPr>
            <w:tcW w:w="4644" w:type="dxa"/>
          </w:tcPr>
          <w:p w14:paraId="6048D7BA" w14:textId="6255A4B2"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Rsg &gt; 1,66</w:t>
            </w:r>
          </w:p>
        </w:tc>
      </w:tr>
      <w:tr w:rsidR="00207D40" w:rsidRPr="00C67319" w14:paraId="75FF0A8F" w14:textId="77777777" w:rsidTr="00207D40">
        <w:tc>
          <w:tcPr>
            <w:tcW w:w="4644" w:type="dxa"/>
          </w:tcPr>
          <w:p w14:paraId="5D1A25B7" w14:textId="3ABB174D"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Rentabilitatea cifrei de afaceri Rca = 100 x (Profit net / Cifra de afaceri)</w:t>
            </w:r>
          </w:p>
        </w:tc>
        <w:tc>
          <w:tcPr>
            <w:tcW w:w="4644" w:type="dxa"/>
          </w:tcPr>
          <w:p w14:paraId="4F25BE36" w14:textId="4FDD4750"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Rca ≥ 2,5%</w:t>
            </w:r>
          </w:p>
        </w:tc>
      </w:tr>
      <w:tr w:rsidR="00207D40" w:rsidRPr="00C67319" w14:paraId="7B3E4EC6" w14:textId="77777777" w:rsidTr="00207D40">
        <w:tc>
          <w:tcPr>
            <w:tcW w:w="4644" w:type="dxa"/>
          </w:tcPr>
          <w:p w14:paraId="76984C96" w14:textId="08FB1DA7"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Rata lichidităţii curente RLC = ( Active curente / Datorii curente )</w:t>
            </w:r>
          </w:p>
        </w:tc>
        <w:tc>
          <w:tcPr>
            <w:tcW w:w="4644" w:type="dxa"/>
          </w:tcPr>
          <w:p w14:paraId="4BBF0C0E" w14:textId="2E852F0A"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(Rlc ) ≥ 1,00</w:t>
            </w:r>
          </w:p>
        </w:tc>
      </w:tr>
      <w:tr w:rsidR="00207D40" w:rsidRPr="00C67319" w14:paraId="261266E6" w14:textId="77777777" w:rsidTr="00207D40">
        <w:tc>
          <w:tcPr>
            <w:tcW w:w="4644" w:type="dxa"/>
          </w:tcPr>
          <w:p w14:paraId="0CD70A13" w14:textId="77777777" w:rsidR="00207D40" w:rsidRPr="00C67319" w:rsidRDefault="00207D40" w:rsidP="00207D40">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Indicatorul gradului de îndatorare*</w:t>
            </w:r>
          </w:p>
          <w:p w14:paraId="261D9197" w14:textId="30AA32CD" w:rsidR="00207D40" w:rsidRPr="00C67319" w:rsidRDefault="00207D40" w:rsidP="00207D40">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Igi = (Capital împrumutat / Capital angajat) x100</w:t>
            </w:r>
          </w:p>
        </w:tc>
        <w:tc>
          <w:tcPr>
            <w:tcW w:w="4644" w:type="dxa"/>
          </w:tcPr>
          <w:p w14:paraId="57670407" w14:textId="4AAAEA6D" w:rsidR="00207D40" w:rsidRPr="00C67319" w:rsidRDefault="00207D40" w:rsidP="00137E06">
            <w:pPr>
              <w:autoSpaceDE w:val="0"/>
              <w:autoSpaceDN w:val="0"/>
              <w:adjustRightInd w:val="0"/>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Rig )≤65%</w:t>
            </w:r>
          </w:p>
        </w:tc>
      </w:tr>
    </w:tbl>
    <w:p w14:paraId="6E763FF1" w14:textId="77777777" w:rsidR="00207D40" w:rsidRPr="00C67319" w:rsidRDefault="00207D40" w:rsidP="00137E06">
      <w:pPr>
        <w:autoSpaceDE w:val="0"/>
        <w:autoSpaceDN w:val="0"/>
        <w:adjustRightInd w:val="0"/>
        <w:spacing w:after="0" w:line="240" w:lineRule="auto"/>
        <w:rPr>
          <w:rFonts w:ascii="Times New Roman" w:eastAsia="Calibri" w:hAnsi="Times New Roman" w:cs="Times New Roman"/>
          <w:color w:val="000000"/>
          <w:sz w:val="16"/>
          <w:szCs w:val="16"/>
        </w:rPr>
      </w:pPr>
      <w:r w:rsidRPr="00C67319">
        <w:rPr>
          <w:rFonts w:ascii="Times New Roman" w:eastAsia="Calibri" w:hAnsi="Times New Roman" w:cs="Times New Roman"/>
          <w:color w:val="000000"/>
          <w:sz w:val="16"/>
          <w:szCs w:val="16"/>
        </w:rPr>
        <w:t xml:space="preserve">*) Capital împrumutat = credite peste un an </w:t>
      </w:r>
    </w:p>
    <w:p w14:paraId="7C5F0232" w14:textId="748A0888" w:rsidR="00137E06" w:rsidRPr="00C67319" w:rsidRDefault="00207D40" w:rsidP="00137E06">
      <w:pPr>
        <w:autoSpaceDE w:val="0"/>
        <w:autoSpaceDN w:val="0"/>
        <w:adjustRightInd w:val="0"/>
        <w:spacing w:after="0" w:line="240" w:lineRule="auto"/>
        <w:rPr>
          <w:rFonts w:ascii="Times New Roman" w:eastAsia="Calibri" w:hAnsi="Times New Roman" w:cs="Times New Roman"/>
          <w:color w:val="000000"/>
          <w:sz w:val="16"/>
          <w:szCs w:val="16"/>
        </w:rPr>
      </w:pPr>
      <w:r w:rsidRPr="00C67319">
        <w:rPr>
          <w:rFonts w:ascii="Times New Roman" w:eastAsia="Calibri" w:hAnsi="Times New Roman" w:cs="Times New Roman"/>
          <w:color w:val="000000"/>
          <w:sz w:val="16"/>
          <w:szCs w:val="16"/>
        </w:rPr>
        <w:t>Capital angajat = capital împrumutat + capital propriu</w:t>
      </w:r>
    </w:p>
    <w:p w14:paraId="7552F266" w14:textId="77777777" w:rsidR="001A1A92" w:rsidRPr="00C67319" w:rsidRDefault="001A1A92" w:rsidP="00137E06">
      <w:pPr>
        <w:autoSpaceDE w:val="0"/>
        <w:autoSpaceDN w:val="0"/>
        <w:adjustRightInd w:val="0"/>
        <w:spacing w:after="0" w:line="240" w:lineRule="auto"/>
        <w:rPr>
          <w:rFonts w:ascii="Times New Roman" w:eastAsia="Calibri" w:hAnsi="Times New Roman" w:cs="Times New Roman"/>
          <w:color w:val="000000"/>
          <w:sz w:val="24"/>
          <w:szCs w:val="24"/>
        </w:rPr>
      </w:pPr>
    </w:p>
    <w:p w14:paraId="63E43165" w14:textId="694ED2CF" w:rsidR="00137E06" w:rsidRPr="00C67319" w:rsidRDefault="00137E06" w:rsidP="00137E06">
      <w:pPr>
        <w:autoSpaceDE w:val="0"/>
        <w:autoSpaceDN w:val="0"/>
        <w:adjustRightInd w:val="0"/>
        <w:spacing w:after="0" w:line="240" w:lineRule="auto"/>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4</w:t>
      </w:r>
      <w:r w:rsidR="00A143CD" w:rsidRPr="00C67319">
        <w:rPr>
          <w:rFonts w:ascii="Times New Roman" w:eastAsia="Calibri" w:hAnsi="Times New Roman" w:cs="Times New Roman"/>
          <w:color w:val="000000"/>
          <w:sz w:val="24"/>
          <w:szCs w:val="24"/>
        </w:rPr>
        <w:t>.</w:t>
      </w:r>
      <w:r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b/>
          <w:bCs/>
          <w:color w:val="000000"/>
          <w:sz w:val="24"/>
          <w:szCs w:val="24"/>
        </w:rPr>
        <w:t>Modalitatea de asigurare a resurselor financiare</w:t>
      </w:r>
      <w:r w:rsidR="00A143CD" w:rsidRPr="00C67319">
        <w:rPr>
          <w:rFonts w:ascii="Times New Roman" w:eastAsia="Calibri" w:hAnsi="Times New Roman" w:cs="Times New Roman"/>
          <w:color w:val="000000"/>
          <w:sz w:val="24"/>
          <w:szCs w:val="24"/>
        </w:rPr>
        <w:t>:</w:t>
      </w:r>
    </w:p>
    <w:p w14:paraId="4447EBFF" w14:textId="0FFA4284"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Beneficiarul ajutorului de stat trebuie </w:t>
      </w:r>
      <w:r w:rsidRPr="00C67319">
        <w:rPr>
          <w:rFonts w:ascii="Times New Roman" w:eastAsia="Calibri" w:hAnsi="Times New Roman" w:cs="Times New Roman"/>
          <w:bCs/>
          <w:color w:val="000000"/>
          <w:sz w:val="24"/>
          <w:szCs w:val="24"/>
        </w:rPr>
        <w:t>să asigure o contribuţie financiară care să acopere toate cheltuielile eligibile și neeligibile mai puţin valoarea ajutorului de stat</w:t>
      </w:r>
      <w:r w:rsidRPr="00C67319">
        <w:rPr>
          <w:rFonts w:ascii="Times New Roman" w:eastAsia="Calibri" w:hAnsi="Times New Roman" w:cs="Times New Roman"/>
          <w:color w:val="000000"/>
          <w:sz w:val="24"/>
          <w:szCs w:val="24"/>
        </w:rPr>
        <w:t xml:space="preserve">, sub o formă care să nu facă obiectul niciunui alt ajutor public. </w:t>
      </w:r>
    </w:p>
    <w:p w14:paraId="16357C97" w14:textId="77777777"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CF9765D" w14:textId="5CD5F248" w:rsidR="00137E06"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În acest sens, se vor prezenta tipul fiecărei surse de finanţare (de ex.surse proprii, credite bancare, majorări de capital, profit reinevestit, împrumut intra-grup, etc), documentele care atestă sursa de finanțare (care, după caz pot fi hotărâre AGA, certificatul constatator, contract de împrumut, situații financiare aferente ultimului exercițiu financiar aprobat, etc)   şi valoarea acesteia, care va fi utilizată în vederea realizării proiectului de investiţii şi luată în considerare la întocmirea proiecţiilor situaţiilor financiare.</w:t>
      </w:r>
    </w:p>
    <w:p w14:paraId="16BCA753" w14:textId="77777777" w:rsidR="00C67319" w:rsidRPr="00C67319" w:rsidRDefault="00C67319"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C67319" w:rsidRPr="00503872" w14:paraId="76211F56" w14:textId="77777777" w:rsidTr="00B46069">
        <w:tc>
          <w:tcPr>
            <w:tcW w:w="5000" w:type="pct"/>
            <w:shd w:val="clear" w:color="auto" w:fill="auto"/>
          </w:tcPr>
          <w:p w14:paraId="764E41C6" w14:textId="77777777" w:rsidR="00C67319" w:rsidRPr="00503872" w:rsidRDefault="00C67319" w:rsidP="00503872">
            <w:pPr>
              <w:spacing w:after="0"/>
              <w:jc w:val="both"/>
              <w:rPr>
                <w:rFonts w:ascii="Times New Roman" w:hAnsi="Times New Roman" w:cs="Times New Roman"/>
                <w:i/>
                <w:iCs/>
                <w:color w:val="FF0000"/>
              </w:rPr>
            </w:pPr>
            <w:r w:rsidRPr="00503872">
              <w:rPr>
                <w:rFonts w:ascii="Times New Roman" w:hAnsi="Times New Roman" w:cs="Times New Roman"/>
                <w:i/>
                <w:iCs/>
                <w:color w:val="FF0000"/>
              </w:rPr>
              <w:t>Atenție!</w:t>
            </w:r>
          </w:p>
          <w:p w14:paraId="333E3FC4" w14:textId="009BD883" w:rsidR="00C67319" w:rsidRPr="00503872" w:rsidRDefault="00C67319" w:rsidP="00503872">
            <w:pPr>
              <w:spacing w:after="0"/>
              <w:jc w:val="both"/>
              <w:rPr>
                <w:rFonts w:ascii="Times New Roman" w:hAnsi="Times New Roman" w:cs="Times New Roman"/>
                <w:i/>
                <w:iCs/>
                <w:u w:val="single"/>
              </w:rPr>
            </w:pPr>
            <w:r w:rsidRPr="00503872">
              <w:rPr>
                <w:rFonts w:ascii="Times New Roman" w:hAnsi="Times New Roman" w:cs="Times New Roman"/>
                <w:i/>
                <w:iCs/>
                <w:color w:val="0000FF"/>
              </w:rPr>
              <w:t>Beneficiarul ajutorului de stat trebuie să asigure o contribuţie financiară de cel puţin 25% din costurile eligibile.</w:t>
            </w:r>
          </w:p>
        </w:tc>
      </w:tr>
    </w:tbl>
    <w:p w14:paraId="62DD16D8" w14:textId="77777777" w:rsidR="00A143CD" w:rsidRPr="00C67319" w:rsidRDefault="00A143CD" w:rsidP="00137E06">
      <w:pPr>
        <w:ind w:right="-331"/>
        <w:jc w:val="both"/>
        <w:rPr>
          <w:rFonts w:ascii="Times New Roman" w:eastAsia="Calibri" w:hAnsi="Times New Roman" w:cs="Times New Roman"/>
          <w:i/>
          <w:iCs/>
          <w:color w:val="FF0000"/>
          <w:sz w:val="24"/>
          <w:szCs w:val="24"/>
          <w:u w:val="single"/>
        </w:rPr>
      </w:pPr>
    </w:p>
    <w:p w14:paraId="67857D93" w14:textId="0CA7FEF1"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sz w:val="24"/>
          <w:szCs w:val="24"/>
          <w:lang w:eastAsia="ro-RO"/>
        </w:rPr>
        <w:t>5</w:t>
      </w:r>
      <w:r w:rsidR="00A143CD" w:rsidRPr="00C67319">
        <w:rPr>
          <w:rFonts w:ascii="Times New Roman" w:eastAsia="Calibri" w:hAnsi="Times New Roman" w:cs="Times New Roman"/>
          <w:sz w:val="24"/>
          <w:szCs w:val="24"/>
          <w:lang w:eastAsia="ro-RO"/>
        </w:rPr>
        <w:t>.</w:t>
      </w:r>
      <w:r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b/>
          <w:bCs/>
          <w:color w:val="000000"/>
          <w:sz w:val="24"/>
          <w:szCs w:val="24"/>
        </w:rPr>
        <w:t>Experienţa în domeniul pentru care solicită finanţare</w:t>
      </w:r>
      <w:r w:rsidR="00A143CD" w:rsidRPr="00C67319">
        <w:rPr>
          <w:rFonts w:ascii="Times New Roman" w:eastAsia="Calibri" w:hAnsi="Times New Roman" w:cs="Times New Roman"/>
          <w:color w:val="000000"/>
          <w:sz w:val="24"/>
          <w:szCs w:val="24"/>
        </w:rPr>
        <w:t>:</w:t>
      </w:r>
    </w:p>
    <w:p w14:paraId="072F6632" w14:textId="36ABD1A4"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Dacă întreprinderea a desfăşurat până la data depunerii cererii de acord de finanțare activitatea pentru care solicită finanţare, va  descrie evoluţia respectivei activităţi, din care să rezulte experienţa în domeniu. </w:t>
      </w:r>
    </w:p>
    <w:p w14:paraId="70F0B17D" w14:textId="77777777" w:rsidR="00C67319" w:rsidRDefault="00C67319"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0702DF5" w14:textId="75CDBDA1"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Dacă întreprinderea nu a desfăşurat până la data depunerii cererii de acord de finanțare  activitatea pentru care solicită finanţare, acţionarii, reprezentantul legal al întreprinderii sau managerii de proiect desemnați de reprezentantul legal al întreprinderii care au fost implicaţi în implementarea unor proiecte similare vor prezenta documente care să ateste </w:t>
      </w:r>
      <w:r w:rsidR="00A143CD" w:rsidRPr="00C67319">
        <w:rPr>
          <w:rFonts w:ascii="Times New Roman" w:eastAsia="Calibri" w:hAnsi="Times New Roman" w:cs="Times New Roman"/>
          <w:color w:val="000000"/>
          <w:sz w:val="24"/>
          <w:szCs w:val="24"/>
        </w:rPr>
        <w:t>experiența</w:t>
      </w:r>
      <w:r w:rsidRPr="00C67319">
        <w:rPr>
          <w:rFonts w:ascii="Times New Roman" w:eastAsia="Calibri" w:hAnsi="Times New Roman" w:cs="Times New Roman"/>
          <w:color w:val="000000"/>
          <w:sz w:val="24"/>
          <w:szCs w:val="24"/>
        </w:rPr>
        <w:t xml:space="preserve"> în sectorul de activitate pentru care este solicitată finanțarea.</w:t>
      </w:r>
    </w:p>
    <w:p w14:paraId="06947AFA" w14:textId="77777777" w:rsidR="00A143CD" w:rsidRPr="00C67319" w:rsidRDefault="00A143CD"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A9FE6C6" w14:textId="133A918E"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6</w:t>
      </w:r>
      <w:r w:rsidR="00A143CD" w:rsidRPr="00C67319">
        <w:rPr>
          <w:rFonts w:ascii="Times New Roman" w:eastAsia="Calibri" w:hAnsi="Times New Roman" w:cs="Times New Roman"/>
          <w:color w:val="000000"/>
          <w:sz w:val="24"/>
          <w:szCs w:val="24"/>
        </w:rPr>
        <w:t>.</w:t>
      </w:r>
      <w:r w:rsidRPr="00C67319">
        <w:rPr>
          <w:rFonts w:ascii="Times New Roman" w:eastAsia="Calibri" w:hAnsi="Times New Roman" w:cs="Times New Roman"/>
          <w:color w:val="000000"/>
          <w:sz w:val="24"/>
          <w:szCs w:val="24"/>
        </w:rPr>
        <w:t xml:space="preserve"> </w:t>
      </w:r>
      <w:r w:rsidRPr="00C67319">
        <w:rPr>
          <w:rFonts w:ascii="Times New Roman" w:eastAsia="Calibri" w:hAnsi="Times New Roman" w:cs="Times New Roman"/>
          <w:b/>
          <w:bCs/>
          <w:color w:val="000000"/>
          <w:sz w:val="24"/>
          <w:szCs w:val="24"/>
        </w:rPr>
        <w:t>Locurile de muncă nou create</w:t>
      </w:r>
      <w:r w:rsidRPr="00C67319">
        <w:rPr>
          <w:rFonts w:ascii="Times New Roman" w:eastAsia="Calibri" w:hAnsi="Times New Roman" w:cs="Times New Roman"/>
          <w:color w:val="000000"/>
          <w:sz w:val="24"/>
          <w:szCs w:val="24"/>
        </w:rPr>
        <w:t xml:space="preserve"> </w:t>
      </w:r>
    </w:p>
    <w:p w14:paraId="48EEBF37" w14:textId="615A8D9B" w:rsidR="00A143CD" w:rsidRPr="00C67319" w:rsidRDefault="00A143CD"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 xml:space="preserve">Această secțiune se completează doar de către </w:t>
      </w:r>
      <w:r w:rsidR="00F959AC" w:rsidRPr="00C67319">
        <w:rPr>
          <w:rFonts w:ascii="Times New Roman" w:eastAsia="Calibri" w:hAnsi="Times New Roman" w:cs="Times New Roman"/>
          <w:color w:val="000000"/>
          <w:sz w:val="24"/>
          <w:szCs w:val="24"/>
        </w:rPr>
        <w:t>întrerinderile care nu includ costuril</w:t>
      </w:r>
      <w:r w:rsidR="00503872">
        <w:rPr>
          <w:rFonts w:ascii="Times New Roman" w:eastAsia="Calibri" w:hAnsi="Times New Roman" w:cs="Times New Roman"/>
          <w:color w:val="000000"/>
          <w:sz w:val="24"/>
          <w:szCs w:val="24"/>
        </w:rPr>
        <w:t>e</w:t>
      </w:r>
      <w:r w:rsidR="00F959AC" w:rsidRPr="00C67319">
        <w:rPr>
          <w:rFonts w:ascii="Times New Roman" w:eastAsia="Calibri" w:hAnsi="Times New Roman" w:cs="Times New Roman"/>
          <w:color w:val="000000"/>
          <w:sz w:val="24"/>
          <w:szCs w:val="24"/>
        </w:rPr>
        <w:t xml:space="preserve"> salariale la cheltuieli eligibile (nu solicit</w:t>
      </w:r>
      <w:r w:rsidR="00503872">
        <w:rPr>
          <w:rFonts w:ascii="Times New Roman" w:eastAsia="Calibri" w:hAnsi="Times New Roman" w:cs="Times New Roman"/>
          <w:color w:val="000000"/>
          <w:sz w:val="24"/>
          <w:szCs w:val="24"/>
        </w:rPr>
        <w:t>ă</w:t>
      </w:r>
      <w:r w:rsidR="00F959AC" w:rsidRPr="00C67319">
        <w:rPr>
          <w:rFonts w:ascii="Times New Roman" w:eastAsia="Calibri" w:hAnsi="Times New Roman" w:cs="Times New Roman"/>
          <w:color w:val="000000"/>
          <w:sz w:val="24"/>
          <w:szCs w:val="24"/>
        </w:rPr>
        <w:t xml:space="preserve"> rambursarea costurilor salariale).</w:t>
      </w:r>
    </w:p>
    <w:p w14:paraId="153CB4C4" w14:textId="54EF87E0" w:rsidR="00F959AC" w:rsidRPr="00C67319" w:rsidRDefault="00F959AC"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364FA71" w14:textId="52CA5BEB"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Întreprinderea va prezenta locurile de muncă create</w:t>
      </w:r>
      <w:r w:rsidR="00F959AC" w:rsidRPr="00C67319">
        <w:rPr>
          <w:rFonts w:ascii="Times New Roman" w:eastAsia="Calibri" w:hAnsi="Times New Roman" w:cs="Times New Roman"/>
          <w:color w:val="000000"/>
          <w:sz w:val="24"/>
          <w:szCs w:val="24"/>
        </w:rPr>
        <w:t xml:space="preserve"> ca</w:t>
      </w:r>
      <w:r w:rsidRPr="00C67319">
        <w:rPr>
          <w:rFonts w:ascii="Times New Roman" w:eastAsia="Calibri" w:hAnsi="Times New Roman" w:cs="Times New Roman"/>
          <w:color w:val="000000"/>
          <w:sz w:val="24"/>
          <w:szCs w:val="24"/>
        </w:rPr>
        <w:t xml:space="preserve"> urmare </w:t>
      </w:r>
      <w:r w:rsidR="00F959AC" w:rsidRPr="00C67319">
        <w:rPr>
          <w:rFonts w:ascii="Times New Roman" w:eastAsia="Calibri" w:hAnsi="Times New Roman" w:cs="Times New Roman"/>
          <w:color w:val="000000"/>
          <w:sz w:val="24"/>
          <w:szCs w:val="24"/>
        </w:rPr>
        <w:t xml:space="preserve">a </w:t>
      </w:r>
      <w:r w:rsidRPr="00C67319">
        <w:rPr>
          <w:rFonts w:ascii="Times New Roman" w:eastAsia="Calibri" w:hAnsi="Times New Roman" w:cs="Times New Roman"/>
          <w:color w:val="000000"/>
          <w:sz w:val="24"/>
          <w:szCs w:val="24"/>
        </w:rPr>
        <w:t xml:space="preserve">proiectului de investiții și plătite efectiv de aceasta pe durata implementării şi 3 ani, în cazul IMM-urilor sau 5 ani, în cazul întreprinderilor mari, de la data finalizării respectivei investiții. </w:t>
      </w:r>
    </w:p>
    <w:p w14:paraId="2DB478A7" w14:textId="77777777" w:rsidR="00F959AC" w:rsidRPr="00C67319" w:rsidRDefault="00F959AC"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3E8A9F3" w14:textId="00823466" w:rsidR="00137E06" w:rsidRPr="00C67319" w:rsidRDefault="00137E06" w:rsidP="00137E06">
      <w:pPr>
        <w:autoSpaceDE w:val="0"/>
        <w:autoSpaceDN w:val="0"/>
        <w:adjustRightInd w:val="0"/>
        <w:spacing w:after="0" w:line="240" w:lineRule="auto"/>
        <w:jc w:val="both"/>
        <w:rPr>
          <w:rFonts w:ascii="Times New Roman" w:eastAsia="Calibri" w:hAnsi="Times New Roman" w:cs="Times New Roman"/>
          <w:color w:val="000000"/>
          <w:sz w:val="24"/>
          <w:szCs w:val="24"/>
        </w:rPr>
      </w:pPr>
      <w:r w:rsidRPr="00C67319">
        <w:rPr>
          <w:rFonts w:ascii="Times New Roman" w:eastAsia="Calibri" w:hAnsi="Times New Roman" w:cs="Times New Roman"/>
          <w:color w:val="000000"/>
          <w:sz w:val="24"/>
          <w:szCs w:val="24"/>
        </w:rPr>
        <w:t>Se prezintă în format tabelar numărul de noi locuri de muncă create ca urmare a implementării proiectului de investiţii</w:t>
      </w:r>
      <w:r w:rsidR="00F959AC" w:rsidRPr="00C67319">
        <w:rPr>
          <w:rFonts w:ascii="Times New Roman" w:eastAsia="Calibri" w:hAnsi="Times New Roman" w:cs="Times New Roman"/>
          <w:color w:val="000000"/>
          <w:sz w:val="24"/>
          <w:szCs w:val="24"/>
        </w:rPr>
        <w:t>, detaliat pentru fiecare an de implementare a proiectului</w:t>
      </w:r>
      <w:r w:rsidRPr="00C67319">
        <w:rPr>
          <w:rFonts w:ascii="Times New Roman" w:eastAsia="Calibri" w:hAnsi="Times New Roman" w:cs="Times New Roman"/>
          <w:color w:val="000000"/>
          <w:sz w:val="24"/>
          <w:szCs w:val="24"/>
        </w:rPr>
        <w:t xml:space="preserve"> (cu precizarea funcţiilor şi a salariilor aferente)</w:t>
      </w:r>
      <w:r w:rsidR="00F959AC" w:rsidRPr="00C67319">
        <w:rPr>
          <w:rFonts w:ascii="Times New Roman" w:eastAsia="Calibri" w:hAnsi="Times New Roman" w:cs="Times New Roman"/>
          <w:color w:val="000000"/>
          <w:sz w:val="24"/>
          <w:szCs w:val="24"/>
        </w:rPr>
        <w:t>.</w:t>
      </w:r>
    </w:p>
    <w:p w14:paraId="62E31492" w14:textId="7D14E3CD" w:rsidR="00E24CC2" w:rsidRPr="00C67319" w:rsidRDefault="00E24CC2" w:rsidP="009711A9">
      <w:pPr>
        <w:rPr>
          <w:rFonts w:ascii="Times New Roman" w:hAnsi="Times New Roman" w:cs="Times New Roman"/>
        </w:rPr>
      </w:pPr>
    </w:p>
    <w:sectPr w:rsidR="00E24CC2" w:rsidRPr="00C67319" w:rsidSect="00C67319">
      <w:pgSz w:w="11906" w:h="16838"/>
      <w:pgMar w:top="993"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D75"/>
    <w:multiLevelType w:val="hybridMultilevel"/>
    <w:tmpl w:val="D8861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06E54A1"/>
    <w:multiLevelType w:val="hybridMultilevel"/>
    <w:tmpl w:val="EEC83806"/>
    <w:lvl w:ilvl="0" w:tplc="33687278">
      <w:numFmt w:val="bullet"/>
      <w:lvlText w:val="-"/>
      <w:lvlJc w:val="left"/>
      <w:pPr>
        <w:tabs>
          <w:tab w:val="num" w:pos="502"/>
        </w:tabs>
        <w:ind w:left="502" w:hanging="360"/>
      </w:pPr>
      <w:rPr>
        <w:rFonts w:ascii="Trebuchet MS" w:eastAsia="Calibri" w:hAnsi="Trebuchet MS" w:cs="Times New Roman" w:hint="default"/>
      </w:rPr>
    </w:lvl>
    <w:lvl w:ilvl="1" w:tplc="04090003" w:tentative="1">
      <w:start w:val="1"/>
      <w:numFmt w:val="bullet"/>
      <w:lvlText w:val="o"/>
      <w:lvlJc w:val="left"/>
      <w:pPr>
        <w:tabs>
          <w:tab w:val="num" w:pos="1222"/>
        </w:tabs>
        <w:ind w:left="1222" w:hanging="360"/>
      </w:pPr>
      <w:rPr>
        <w:rFonts w:ascii="Courier New" w:hAnsi="Courier New" w:cs="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5EC7C91"/>
    <w:multiLevelType w:val="hybridMultilevel"/>
    <w:tmpl w:val="3E442C78"/>
    <w:lvl w:ilvl="0" w:tplc="5B428C40">
      <w:start w:val="4"/>
      <w:numFmt w:val="bullet"/>
      <w:lvlText w:val="-"/>
      <w:lvlJc w:val="left"/>
      <w:pPr>
        <w:ind w:left="720" w:hanging="360"/>
      </w:pPr>
      <w:rPr>
        <w:rFonts w:ascii="Calibri" w:eastAsia="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98047BE"/>
    <w:multiLevelType w:val="hybridMultilevel"/>
    <w:tmpl w:val="243093F2"/>
    <w:lvl w:ilvl="0" w:tplc="D0607DA2">
      <w:start w:val="14"/>
      <w:numFmt w:val="bullet"/>
      <w:lvlText w:val="-"/>
      <w:lvlJc w:val="left"/>
      <w:pPr>
        <w:ind w:left="720" w:hanging="360"/>
      </w:pPr>
      <w:rPr>
        <w:rFonts w:ascii="Arial" w:eastAsia="Calibri" w:hAnsi="Arial" w:cs="Aria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4C13AA"/>
    <w:multiLevelType w:val="hybridMultilevel"/>
    <w:tmpl w:val="385805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7D6D80"/>
    <w:multiLevelType w:val="hybridMultilevel"/>
    <w:tmpl w:val="52D07DF6"/>
    <w:lvl w:ilvl="0" w:tplc="F6629936">
      <w:start w:val="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1A47D4"/>
    <w:multiLevelType w:val="hybridMultilevel"/>
    <w:tmpl w:val="EBE8A9B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15D7725"/>
    <w:multiLevelType w:val="hybridMultilevel"/>
    <w:tmpl w:val="4AA2A082"/>
    <w:lvl w:ilvl="0" w:tplc="28F80D1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A7433A8"/>
    <w:multiLevelType w:val="hybridMultilevel"/>
    <w:tmpl w:val="5D1670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2224601"/>
    <w:multiLevelType w:val="hybridMultilevel"/>
    <w:tmpl w:val="FCD4F8E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6C834A2"/>
    <w:multiLevelType w:val="hybridMultilevel"/>
    <w:tmpl w:val="E42CF8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24368679">
    <w:abstractNumId w:val="3"/>
  </w:num>
  <w:num w:numId="2" w16cid:durableId="1827284941">
    <w:abstractNumId w:val="9"/>
  </w:num>
  <w:num w:numId="3" w16cid:durableId="552351411">
    <w:abstractNumId w:val="0"/>
  </w:num>
  <w:num w:numId="4" w16cid:durableId="1025137935">
    <w:abstractNumId w:val="1"/>
  </w:num>
  <w:num w:numId="5" w16cid:durableId="1102451463">
    <w:abstractNumId w:val="2"/>
  </w:num>
  <w:num w:numId="6" w16cid:durableId="1608997307">
    <w:abstractNumId w:val="5"/>
  </w:num>
  <w:num w:numId="7" w16cid:durableId="1609459030">
    <w:abstractNumId w:val="8"/>
  </w:num>
  <w:num w:numId="8" w16cid:durableId="1239435186">
    <w:abstractNumId w:val="4"/>
  </w:num>
  <w:num w:numId="9" w16cid:durableId="1163198727">
    <w:abstractNumId w:val="10"/>
  </w:num>
  <w:num w:numId="10" w16cid:durableId="179198906">
    <w:abstractNumId w:val="6"/>
  </w:num>
  <w:num w:numId="11" w16cid:durableId="171998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ACD"/>
    <w:rsid w:val="00034DAC"/>
    <w:rsid w:val="000E358F"/>
    <w:rsid w:val="00137E06"/>
    <w:rsid w:val="001A1A92"/>
    <w:rsid w:val="00207D40"/>
    <w:rsid w:val="002B1AC1"/>
    <w:rsid w:val="004549B2"/>
    <w:rsid w:val="00503872"/>
    <w:rsid w:val="005068A6"/>
    <w:rsid w:val="00625669"/>
    <w:rsid w:val="006F25E8"/>
    <w:rsid w:val="00800D13"/>
    <w:rsid w:val="00834052"/>
    <w:rsid w:val="00922E22"/>
    <w:rsid w:val="009530E5"/>
    <w:rsid w:val="009711A9"/>
    <w:rsid w:val="009D66F1"/>
    <w:rsid w:val="00A0084A"/>
    <w:rsid w:val="00A143CD"/>
    <w:rsid w:val="00A662A0"/>
    <w:rsid w:val="00B8320C"/>
    <w:rsid w:val="00B937CB"/>
    <w:rsid w:val="00C67319"/>
    <w:rsid w:val="00CC1ACD"/>
    <w:rsid w:val="00E24CC2"/>
    <w:rsid w:val="00E47E43"/>
    <w:rsid w:val="00E72747"/>
    <w:rsid w:val="00E90C84"/>
    <w:rsid w:val="00EE6424"/>
    <w:rsid w:val="00F959AC"/>
    <w:rsid w:val="00F97B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3F114"/>
  <w15:docId w15:val="{D11EB0AA-47CB-47A3-A0F4-D90B39F1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6F1"/>
    <w:pPr>
      <w:ind w:left="720"/>
      <w:contextualSpacing/>
    </w:pPr>
  </w:style>
  <w:style w:type="character" w:styleId="CommentReference">
    <w:name w:val="annotation reference"/>
    <w:basedOn w:val="DefaultParagraphFont"/>
    <w:uiPriority w:val="99"/>
    <w:semiHidden/>
    <w:unhideWhenUsed/>
    <w:rsid w:val="00137E06"/>
    <w:rPr>
      <w:sz w:val="16"/>
      <w:szCs w:val="16"/>
    </w:rPr>
  </w:style>
  <w:style w:type="paragraph" w:customStyle="1" w:styleId="CommentText1">
    <w:name w:val="Comment Text1"/>
    <w:basedOn w:val="Normal"/>
    <w:next w:val="CommentText"/>
    <w:link w:val="CommentTextChar"/>
    <w:uiPriority w:val="99"/>
    <w:semiHidden/>
    <w:unhideWhenUsed/>
    <w:rsid w:val="00137E06"/>
    <w:pPr>
      <w:spacing w:line="240" w:lineRule="auto"/>
    </w:pPr>
    <w:rPr>
      <w:sz w:val="20"/>
      <w:szCs w:val="20"/>
    </w:rPr>
  </w:style>
  <w:style w:type="character" w:customStyle="1" w:styleId="CommentTextChar">
    <w:name w:val="Comment Text Char"/>
    <w:basedOn w:val="DefaultParagraphFont"/>
    <w:link w:val="CommentText1"/>
    <w:uiPriority w:val="99"/>
    <w:semiHidden/>
    <w:rsid w:val="00137E06"/>
    <w:rPr>
      <w:sz w:val="20"/>
      <w:szCs w:val="20"/>
    </w:rPr>
  </w:style>
  <w:style w:type="paragraph" w:styleId="CommentText">
    <w:name w:val="annotation text"/>
    <w:basedOn w:val="Normal"/>
    <w:link w:val="CommentTextChar1"/>
    <w:uiPriority w:val="99"/>
    <w:semiHidden/>
    <w:unhideWhenUsed/>
    <w:rsid w:val="00137E06"/>
    <w:pPr>
      <w:spacing w:line="240" w:lineRule="auto"/>
    </w:pPr>
    <w:rPr>
      <w:sz w:val="20"/>
      <w:szCs w:val="20"/>
    </w:rPr>
  </w:style>
  <w:style w:type="character" w:customStyle="1" w:styleId="CommentTextChar1">
    <w:name w:val="Comment Text Char1"/>
    <w:basedOn w:val="DefaultParagraphFont"/>
    <w:link w:val="CommentText"/>
    <w:uiPriority w:val="99"/>
    <w:semiHidden/>
    <w:rsid w:val="00137E06"/>
    <w:rPr>
      <w:sz w:val="20"/>
      <w:szCs w:val="20"/>
    </w:rPr>
  </w:style>
  <w:style w:type="table" w:styleId="TableGrid">
    <w:name w:val="Table Grid"/>
    <w:basedOn w:val="TableNormal"/>
    <w:uiPriority w:val="59"/>
    <w:rsid w:val="00207D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7A2A3-79E4-4509-B37E-FAF7648CD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1046</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Mirona Daia</dc:creator>
  <cp:keywords/>
  <dc:description/>
  <cp:lastModifiedBy>Mirona Daia</cp:lastModifiedBy>
  <cp:revision>4</cp:revision>
  <dcterms:created xsi:type="dcterms:W3CDTF">2022-08-08T13:34:00Z</dcterms:created>
  <dcterms:modified xsi:type="dcterms:W3CDTF">2022-08-08T16:45:00Z</dcterms:modified>
</cp:coreProperties>
</file>